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6" w:rsidRDefault="007F56D6" w:rsidP="007F56D6">
      <w:pPr>
        <w:shd w:val="clear" w:color="auto" w:fill="FFFFFF"/>
        <w:spacing w:after="0" w:line="400" w:lineRule="atLeast"/>
        <w:jc w:val="center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8"/>
          <w:szCs w:val="28"/>
          <w:lang w:val="uk-UA" w:eastAsia="ru-RU"/>
        </w:rPr>
      </w:pPr>
      <w:r w:rsidRPr="007F56D6">
        <w:rPr>
          <w:rFonts w:ascii="Georgia" w:eastAsia="Times New Roman" w:hAnsi="Georgia" w:cs="Times New Roman"/>
          <w:b/>
          <w:caps/>
          <w:color w:val="FF0000"/>
          <w:kern w:val="36"/>
          <w:sz w:val="28"/>
          <w:szCs w:val="28"/>
          <w:lang w:eastAsia="ru-RU"/>
        </w:rPr>
        <w:t>ДЕКЛАРАЦІЯ ПРАВ ДИТИНИ</w:t>
      </w:r>
    </w:p>
    <w:p w:rsidR="007F56D6" w:rsidRPr="007F56D6" w:rsidRDefault="007F56D6" w:rsidP="007F56D6">
      <w:pPr>
        <w:shd w:val="clear" w:color="auto" w:fill="FFFFFF"/>
        <w:spacing w:after="0" w:line="400" w:lineRule="atLeast"/>
        <w:jc w:val="center"/>
        <w:outlineLvl w:val="0"/>
        <w:rPr>
          <w:rFonts w:ascii="Georgia" w:eastAsia="Times New Roman" w:hAnsi="Georgia" w:cs="Times New Roman"/>
          <w:b/>
          <w:caps/>
          <w:color w:val="FF0000"/>
          <w:kern w:val="36"/>
          <w:sz w:val="28"/>
          <w:szCs w:val="28"/>
          <w:lang w:val="uk-UA" w:eastAsia="ru-RU"/>
        </w:rPr>
      </w:pP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іоритетність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суспільстві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закріплена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таких документах: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-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(1959);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(1989);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Всесвітня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забезпечення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виживання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розвитку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(1990)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    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– документ,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регулює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становище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сучасному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суспільстві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. Головна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ідея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цього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акту «Добро –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дітям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».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преамбулі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зазначено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,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внаслідок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фізичної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розумової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незрілості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потребує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особливої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опіки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уваги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включаючи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правовий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як до, так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ісля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народження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,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Отже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чоловіків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жінок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персонально,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громадські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організації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органи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влади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місцевому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національному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рівні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закликала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визнати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ці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забезпечити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виконання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через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правову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реформу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чи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шляхами.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Женевська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стала першим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кроком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шляху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визнання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як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правових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суб’єктів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(людей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їхніми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власними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правами). Сам текст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ідчить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перехід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соціальної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допомоги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В той же час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вважає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правовим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суб’єктом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тобто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визнає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 нею 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самостійно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своїми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правами.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стосується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майже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виключно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лейтмотивом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кращі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інтереси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словами,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визнається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окремою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істотою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Декларація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прийнята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у 1959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році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10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принципів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можна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викласти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як: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Кожна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користується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правами,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проголошеними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цією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Декларацією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без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будь-яких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форм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дискримінації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особливим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захистом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можливість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нормального здорового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розвитку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умовах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свободи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гідності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моменту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народження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набуває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м'я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національність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благами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соц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іального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забезпечення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включаючи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адекватний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до,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післяпологовий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догляд для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або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нього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матері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нормальне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харчування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житло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творчі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медичні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послуги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яка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фізично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розумово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або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соціально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неповноцінна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повинні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надаватися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спеціальне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лікування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освіта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та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догляд;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там, де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можливо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зростати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опікою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доглядом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атмосфері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приязні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моральної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матеріальної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безпеки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Малолітня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не повинна,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крім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виключних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обставин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відокремлюватися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матері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Суспільство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органи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влади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повинні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забезпечити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необхідний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догляд за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дітьми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залишилися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іклування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сім’ї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або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без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адекватних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засобів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підтримки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отримання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освіти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яка повинна бути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обов’язковою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безплатною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щонайменше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початковому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івні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можливість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гри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творчості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будь-яких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обставин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повинна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бути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серед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перших,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хто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отримає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допомогу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повинна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бути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захищена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усіх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форм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занедбання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жорстокості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експлуатації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можна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наймати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роботу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досягнення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нею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мінімального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дозволено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працювати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повинна бути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захищена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расової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рел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ігійної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або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дискримінації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Вона повинна бути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вихована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дусі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розуміння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толерантності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дружби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між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народами, миру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загального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братерства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   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Слід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відзначити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прийняття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Конвенції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ООН про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.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ній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дитина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вперше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розглядається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не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тільки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як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об'єкт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вимагає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спеціального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захисту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але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як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суб'єкт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права,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який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має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вс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права,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людини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   </w:t>
      </w:r>
      <w:proofErr w:type="gram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</w:t>
      </w:r>
      <w:proofErr w:type="gram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1989 року день 20 листопада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відмічається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як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Міжнародний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день прав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.    Але   в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Україні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    за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традицією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цей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   день  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частіше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відзначається</w:t>
      </w:r>
      <w:proofErr w:type="spellEnd"/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червня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як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Міжнародний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день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захисту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 Цей документ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закликає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дорослих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будувати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взаємини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дітьми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морально-правових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нормах,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основі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лежить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справжній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гуманізм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демократизм,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повага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дбайливе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ставлення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особистості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думки,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поглядів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Одночасно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стверджує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необхідність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формування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ідростаючого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покоління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усвідомленого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розуміння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законів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людей,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шанобливого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ставлення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них.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  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Положення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Конвенції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зводяться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чотирьох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основних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вимог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повинні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забезпечити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: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виживання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розвиток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забезпечення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активної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участі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житті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суспільства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    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ідея</w:t>
      </w:r>
      <w:proofErr w:type="spellEnd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Конвенції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–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єдність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обов'язків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пов'язує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правами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обов'язками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осіб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несуть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відповідальність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життя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розвиток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надає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приймати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ішення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формулює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громадянські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політичні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економічні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соц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іальні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культурні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Основні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них: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життя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виживання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вільний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розвиток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м'я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набуття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громадянства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знати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своїх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батьківською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турботою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розлучатися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батьками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всупереч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бажанню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право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ідтримувати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контакти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обома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батьками.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во</w:t>
      </w: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з'єднання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сі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'єю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знаходиться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іншій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державі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вільно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залишати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будь-яку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країну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повертатися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свою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країну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разі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незаконного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переміщення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повернення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з-за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кордону.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вільно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висловлювати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думки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усіх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питань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Свобода думки,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сові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релігії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Свобода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асоціацій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мирних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зборі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повну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інформацію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сприяє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добробуту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послугами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системи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охорони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здоров'я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користуватися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благами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соц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іального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забезпечення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освіту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відпочинок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розваги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економічної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експлуатації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незаконного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зловживання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наркотичними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засобами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психотропними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речовинами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усіх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форм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сексуальної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експлуатації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сексуальних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розбещень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numPr>
          <w:ilvl w:val="0"/>
          <w:numId w:val="2"/>
        </w:numPr>
        <w:shd w:val="clear" w:color="auto" w:fill="FFFFFF"/>
        <w:spacing w:after="0" w:line="320" w:lineRule="atLeast"/>
        <w:ind w:left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гуманне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поводження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незаконного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довільного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позбавлення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волі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Конвенцією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проголошено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принцип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івної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відповідальності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батьків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законних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опікунів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виховання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встановлено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обов'язок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держави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піклуватися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шанувати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забезпечувати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Конституція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України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закріплює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івність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правах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незалежно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походження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також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того,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народжені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вони 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шлюбі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чи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поза ним.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Переслідуються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 законом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будь-яке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насильство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над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дитиною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експлуатація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52).</w:t>
      </w:r>
    </w:p>
    <w:p w:rsidR="007F56D6" w:rsidRPr="007F56D6" w:rsidRDefault="007F56D6" w:rsidP="007F56D6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ряді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країн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інститут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омбудсмана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Default="007F56D6" w:rsidP="007F56D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u w:val="single"/>
          <w:lang w:val="uk-UA" w:eastAsia="ru-RU"/>
        </w:rPr>
      </w:pPr>
    </w:p>
    <w:p w:rsidR="007F56D6" w:rsidRPr="007F56D6" w:rsidRDefault="007F56D6" w:rsidP="007F56D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ООН про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має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три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основні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завдання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1) 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самовизначення</w:t>
      </w:r>
      <w:proofErr w:type="spellEnd"/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Зараз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загально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визнано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що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застосовується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більшість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людини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Одні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них –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беззастережно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(як,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наприклад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тортур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), 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інші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певними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обмеженнями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політичні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права).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2) Право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низку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положень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стосуються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особливих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потреб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вразливості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наприклад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умови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зайнятості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32).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ільшість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цих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положень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більш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суворі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вимоги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стосовно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ніж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загальні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правозахисні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інструменти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3)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Специфічні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 –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це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права,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які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застосовуються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специфічно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або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навіть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виключно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право не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розлучатися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своїми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батьками (ст. 9-11)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положення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усиновлення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21).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Найкращим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прикладом таких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ст. 31, яка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захищає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право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гру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також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надає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захист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особливим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категоріям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дітей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біженці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22),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інваліди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23),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меншини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(ст. 30)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діти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втягнуті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у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воєнні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конфлікти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Pr="007F56D6" w:rsidRDefault="007F56D6" w:rsidP="007F56D6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Одним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найважливіших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досягнень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Конвенції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її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прогресивний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ідхід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 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Конвенція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кілька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разів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наголошує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на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обов’язку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держав –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сторін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підтримувати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поширювати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 xml:space="preserve"> права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. </w:t>
      </w:r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Одним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найважливіших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інструментів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proofErr w:type="gram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ідтримки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є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правова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освіта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вивчення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людини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доступній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формі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наймолодшого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віку</w:t>
      </w:r>
      <w:proofErr w:type="spellEnd"/>
      <w:r w:rsidRPr="007F56D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u w:val="single"/>
          <w:lang w:val="uk-UA" w:eastAsia="ru-RU"/>
        </w:rPr>
      </w:pPr>
    </w:p>
    <w:p w:rsidR="007F56D6" w:rsidRPr="007F56D6" w:rsidRDefault="007F56D6" w:rsidP="007F56D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40"/>
          <w:szCs w:val="40"/>
          <w:lang w:val="uk-UA" w:eastAsia="ru-RU"/>
        </w:rPr>
      </w:pP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Основні</w:t>
      </w:r>
      <w:proofErr w:type="spellEnd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 xml:space="preserve"> напрямки та </w:t>
      </w: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змі</w:t>
      </w:r>
      <w:proofErr w:type="gram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ст</w:t>
      </w:r>
      <w:proofErr w:type="spellEnd"/>
      <w:proofErr w:type="gramEnd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роботи</w:t>
      </w:r>
      <w:proofErr w:type="spellEnd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 xml:space="preserve"> психолога </w:t>
      </w: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з</w:t>
      </w:r>
      <w:proofErr w:type="spellEnd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 xml:space="preserve"> </w:t>
      </w: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реалізації</w:t>
      </w:r>
      <w:proofErr w:type="spellEnd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 xml:space="preserve"> прав </w:t>
      </w:r>
      <w:proofErr w:type="spellStart"/>
      <w:r w:rsidRPr="007F56D6">
        <w:rPr>
          <w:rFonts w:ascii="Georgia" w:eastAsia="Times New Roman" w:hAnsi="Georgia" w:cs="Times New Roman"/>
          <w:color w:val="FF0000"/>
          <w:sz w:val="40"/>
          <w:szCs w:val="40"/>
          <w:u w:val="single"/>
          <w:lang w:eastAsia="ru-RU"/>
        </w:rPr>
        <w:t>дитини</w:t>
      </w:r>
      <w:proofErr w:type="spellEnd"/>
      <w:r w:rsidRPr="007F56D6">
        <w:rPr>
          <w:rFonts w:ascii="Georgia" w:eastAsia="Times New Roman" w:hAnsi="Georgia" w:cs="Times New Roman"/>
          <w:color w:val="FF0000"/>
          <w:sz w:val="40"/>
          <w:szCs w:val="40"/>
          <w:lang w:eastAsia="ru-RU"/>
        </w:rPr>
        <w:t>:</w:t>
      </w:r>
    </w:p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1576"/>
        <w:gridCol w:w="2703"/>
        <w:gridCol w:w="2649"/>
        <w:gridCol w:w="2643"/>
      </w:tblGrid>
      <w:tr w:rsidR="007F56D6" w:rsidTr="007F56D6">
        <w:trPr>
          <w:cantSplit/>
          <w:trHeight w:val="1134"/>
        </w:trPr>
        <w:tc>
          <w:tcPr>
            <w:tcW w:w="675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</w:p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uk-UA" w:eastAsia="ru-RU"/>
              </w:rPr>
              <w:t xml:space="preserve">Напрямки </w:t>
            </w:r>
          </w:p>
        </w:tc>
        <w:tc>
          <w:tcPr>
            <w:tcW w:w="2977" w:type="dxa"/>
          </w:tcPr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</w:p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r w:rsidRPr="007F56D6"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  <w:t>Щодо дітей</w:t>
            </w:r>
          </w:p>
        </w:tc>
        <w:tc>
          <w:tcPr>
            <w:tcW w:w="2977" w:type="dxa"/>
          </w:tcPr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</w:p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r w:rsidRPr="007F56D6"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  <w:t>Щодо батьків</w:t>
            </w:r>
          </w:p>
        </w:tc>
        <w:tc>
          <w:tcPr>
            <w:tcW w:w="2942" w:type="dxa"/>
          </w:tcPr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</w:p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r w:rsidRPr="007F56D6"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  <w:t>Щодо педагогів</w:t>
            </w:r>
          </w:p>
        </w:tc>
      </w:tr>
      <w:tr w:rsidR="007F56D6" w:rsidTr="007F56D6">
        <w:trPr>
          <w:cantSplit/>
          <w:trHeight w:val="1134"/>
        </w:trPr>
        <w:tc>
          <w:tcPr>
            <w:tcW w:w="675" w:type="dxa"/>
            <w:textDirection w:val="btLr"/>
          </w:tcPr>
          <w:p w:rsidR="007F56D6" w:rsidRPr="007F56D6" w:rsidRDefault="007F56D6" w:rsidP="007F56D6">
            <w:pPr>
              <w:ind w:left="113" w:right="113"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Діагностика</w:t>
            </w:r>
            <w:proofErr w:type="spellEnd"/>
          </w:p>
        </w:tc>
        <w:tc>
          <w:tcPr>
            <w:tcW w:w="2977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особистого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самооцінка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тривожність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страхи,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установки,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виховного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впливу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ступінь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агресивності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характер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родинних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відношень</w:t>
            </w:r>
            <w:proofErr w:type="spellEnd"/>
          </w:p>
        </w:tc>
        <w:tc>
          <w:tcPr>
            <w:tcW w:w="2942" w:type="dxa"/>
          </w:tcPr>
          <w:p w:rsidR="007F56D6" w:rsidRP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r w:rsidRPr="007F56D6"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  <w:t>тип спрямованості особистості педагога, комунікативні позиції, стиль взаємодії з дітьми</w:t>
            </w:r>
          </w:p>
        </w:tc>
      </w:tr>
      <w:tr w:rsidR="007F56D6" w:rsidTr="007F56D6">
        <w:trPr>
          <w:cantSplit/>
          <w:trHeight w:val="1134"/>
        </w:trPr>
        <w:tc>
          <w:tcPr>
            <w:tcW w:w="675" w:type="dxa"/>
            <w:textDirection w:val="btLr"/>
          </w:tcPr>
          <w:p w:rsidR="007F56D6" w:rsidRPr="007F56D6" w:rsidRDefault="007F56D6" w:rsidP="007F56D6">
            <w:pPr>
              <w:ind w:left="113" w:right="113"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Психопрофілактика</w:t>
            </w:r>
            <w:proofErr w:type="spellEnd"/>
          </w:p>
        </w:tc>
        <w:tc>
          <w:tcPr>
            <w:tcW w:w="2977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іально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важливих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потреб та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комунікативних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знайомство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їхніми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правами</w:t>
            </w:r>
          </w:p>
        </w:tc>
        <w:tc>
          <w:tcPr>
            <w:tcW w:w="2977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знайомство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особливостями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ізних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вікових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етапах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знайомство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кращим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досвідом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родинного</w:t>
            </w:r>
            <w:proofErr w:type="spellEnd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D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</w:p>
        </w:tc>
        <w:tc>
          <w:tcPr>
            <w:tcW w:w="2942" w:type="dxa"/>
          </w:tcPr>
          <w:p w:rsidR="007F56D6" w:rsidRDefault="007F56D6" w:rsidP="007F56D6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r w:rsidRPr="007F56D6"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  <w:t>надання психологічної допомоги у створенні іміджу педагогу – професіоналу, інформування про основні закономірності психічного розвитку та його індивідуальних проявів на різних стадіях розвитку</w:t>
            </w:r>
          </w:p>
        </w:tc>
      </w:tr>
    </w:tbl>
    <w:p w:rsidR="007F56D6" w:rsidRPr="007F56D6" w:rsidRDefault="007F56D6" w:rsidP="007F56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7E4BE9" w:rsidRPr="007F56D6" w:rsidRDefault="007E4BE9" w:rsidP="007F56D6">
      <w:pPr>
        <w:spacing w:after="0"/>
        <w:rPr>
          <w:rFonts w:ascii="Georgia" w:hAnsi="Georgia"/>
          <w:sz w:val="28"/>
          <w:szCs w:val="28"/>
        </w:rPr>
      </w:pPr>
    </w:p>
    <w:sectPr w:rsidR="007E4BE9" w:rsidRPr="007F56D6" w:rsidSect="007E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CEE"/>
    <w:multiLevelType w:val="multilevel"/>
    <w:tmpl w:val="281A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D7EE3"/>
    <w:multiLevelType w:val="multilevel"/>
    <w:tmpl w:val="2DE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D1FDE"/>
    <w:multiLevelType w:val="multilevel"/>
    <w:tmpl w:val="690C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6D6"/>
    <w:rsid w:val="000F758B"/>
    <w:rsid w:val="007E4BE9"/>
    <w:rsid w:val="007F56D6"/>
    <w:rsid w:val="00A0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1196</Words>
  <Characters>6818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2019-03-20T11:37:00Z</dcterms:created>
  <dcterms:modified xsi:type="dcterms:W3CDTF">2019-03-20T11:53:00Z</dcterms:modified>
</cp:coreProperties>
</file>